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B93A">
      <w:pPr>
        <w:rPr>
          <w:rFonts w:ascii="仿宋_GB2312" w:hAnsi="仿宋" w:eastAsia="仿宋_GB2312"/>
          <w:sz w:val="32"/>
          <w:szCs w:val="32"/>
        </w:rPr>
      </w:pPr>
      <w:r>
        <w:rPr>
          <w:rFonts w:hint="eastAsia" w:ascii="黑体" w:hAnsi="黑体" w:eastAsia="黑体" w:cs="黑体"/>
          <w:bCs/>
          <w:color w:val="000000"/>
          <w:kern w:val="0"/>
          <w:sz w:val="32"/>
          <w:szCs w:val="32"/>
        </w:rPr>
        <w:t>附件3</w:t>
      </w:r>
    </w:p>
    <w:p w14:paraId="4BCCFBD8">
      <w:pPr>
        <w:ind w:firstLine="800" w:firstLineChars="200"/>
        <w:jc w:val="center"/>
        <w:rPr>
          <w:rFonts w:ascii="方正小标宋简体" w:hAnsi="仿宋" w:eastAsia="方正小标宋简体"/>
          <w:sz w:val="40"/>
          <w:szCs w:val="28"/>
        </w:rPr>
      </w:pPr>
      <w:r>
        <w:rPr>
          <w:rFonts w:hint="eastAsia" w:ascii="方正小标宋简体" w:hAnsi="仿宋" w:eastAsia="方正小标宋简体"/>
          <w:sz w:val="40"/>
          <w:szCs w:val="28"/>
        </w:rPr>
        <w:t>中国国际大学生创新大赛（2026）</w:t>
      </w:r>
    </w:p>
    <w:p w14:paraId="5B250D03">
      <w:pPr>
        <w:ind w:firstLine="800" w:firstLineChars="200"/>
        <w:jc w:val="center"/>
        <w:rPr>
          <w:rFonts w:ascii="方正小标宋简体" w:hAnsi="仿宋" w:eastAsia="方正小标宋简体"/>
          <w:sz w:val="40"/>
          <w:szCs w:val="28"/>
        </w:rPr>
      </w:pPr>
      <w:r>
        <w:rPr>
          <w:rFonts w:hint="eastAsia" w:ascii="方正小标宋简体" w:hAnsi="仿宋" w:eastAsia="方正小标宋简体"/>
          <w:sz w:val="40"/>
          <w:szCs w:val="28"/>
        </w:rPr>
        <w:t>美国、加拿大、芬兰区域赛承办方案</w:t>
      </w:r>
    </w:p>
    <w:p w14:paraId="21718768">
      <w:pPr>
        <w:rPr>
          <w:rFonts w:ascii="黑体" w:hAnsi="黑体" w:eastAsia="黑体"/>
          <w:b/>
          <w:sz w:val="32"/>
          <w:szCs w:val="32"/>
        </w:rPr>
      </w:pPr>
      <w:r>
        <w:rPr>
          <w:rFonts w:hint="eastAsia" w:ascii="黑体" w:hAnsi="黑体" w:eastAsia="黑体"/>
          <w:b/>
          <w:sz w:val="32"/>
          <w:szCs w:val="32"/>
        </w:rPr>
        <w:t>一、赛事背景</w:t>
      </w:r>
    </w:p>
    <w:p w14:paraId="1B18940E">
      <w:pPr>
        <w:ind w:firstLine="640" w:firstLineChars="200"/>
        <w:rPr>
          <w:rFonts w:ascii="仿宋_GB2312" w:hAnsi="仿宋" w:eastAsia="仿宋_GB2312"/>
          <w:b/>
          <w:sz w:val="32"/>
          <w:szCs w:val="32"/>
        </w:rPr>
      </w:pPr>
      <w:r>
        <w:rPr>
          <w:rFonts w:hint="eastAsia" w:ascii="仿宋_GB2312" w:hAnsi="仿宋" w:eastAsia="仿宋_GB2312"/>
          <w:sz w:val="32"/>
          <w:szCs w:val="32"/>
        </w:rPr>
        <w:t>中国国际大学生创新大赛持续深化国际交流合作，搭建起全球大学生创新实践竞赛平台，已然成为具有广泛国际影响力的全球性创新创业盛会。为深化中美、中加、中芬青年在创新创业领域的交流互鉴与协同发展，持续提升我国高等教育的国际影响力，拟于2026年举办中国国际大学生创新大赛美国、加拿大、芬兰（以下简称“美加芬”）区域赛。诚邀海内外优秀青年积极参与，以创新赋能未来，以创业成就梦想，携手共筑中外青年创新合作的崭新桥梁。</w:t>
      </w:r>
    </w:p>
    <w:p w14:paraId="5D2E75AB">
      <w:pPr>
        <w:rPr>
          <w:rFonts w:ascii="黑体" w:hAnsi="黑体" w:eastAsia="黑体"/>
          <w:b/>
          <w:sz w:val="32"/>
          <w:szCs w:val="32"/>
        </w:rPr>
      </w:pPr>
      <w:r>
        <w:rPr>
          <w:rFonts w:hint="eastAsia" w:ascii="黑体" w:hAnsi="黑体" w:eastAsia="黑体"/>
          <w:b/>
          <w:sz w:val="32"/>
          <w:szCs w:val="32"/>
        </w:rPr>
        <w:t>二、组织架构</w:t>
      </w:r>
    </w:p>
    <w:p w14:paraId="45869445">
      <w:pPr>
        <w:ind w:firstLine="640" w:firstLineChars="200"/>
        <w:rPr>
          <w:rFonts w:ascii="仿宋_GB2312" w:hAnsi="仿宋" w:eastAsia="仿宋_GB2312"/>
          <w:sz w:val="32"/>
          <w:szCs w:val="32"/>
        </w:rPr>
      </w:pPr>
      <w:r>
        <w:rPr>
          <w:rFonts w:hint="eastAsia" w:ascii="仿宋_GB2312" w:hAnsi="仿宋" w:eastAsia="仿宋_GB2312"/>
          <w:sz w:val="32"/>
          <w:szCs w:val="32"/>
        </w:rPr>
        <w:t>1.主办单位：中华人民共和国教育部高等教育司</w:t>
      </w:r>
    </w:p>
    <w:p w14:paraId="56398533">
      <w:pPr>
        <w:ind w:firstLine="640" w:firstLineChars="200"/>
        <w:rPr>
          <w:rFonts w:ascii="仿宋_GB2312" w:hAnsi="仿宋" w:eastAsia="仿宋_GB2312"/>
          <w:sz w:val="32"/>
          <w:szCs w:val="32"/>
        </w:rPr>
      </w:pPr>
      <w:r>
        <w:rPr>
          <w:rFonts w:hint="eastAsia" w:ascii="仿宋_GB2312" w:hAnsi="仿宋" w:eastAsia="仿宋_GB2312"/>
          <w:sz w:val="32"/>
          <w:szCs w:val="32"/>
        </w:rPr>
        <w:t>2.承办单位：南京大学、菲数中国、世界数据组织（World Data Organization, WDO）</w:t>
      </w:r>
    </w:p>
    <w:p w14:paraId="4C5D2640">
      <w:pPr>
        <w:rPr>
          <w:rFonts w:ascii="黑体" w:hAnsi="黑体" w:eastAsia="黑体"/>
          <w:b/>
          <w:sz w:val="32"/>
          <w:szCs w:val="32"/>
        </w:rPr>
      </w:pPr>
      <w:r>
        <w:rPr>
          <w:rFonts w:hint="eastAsia" w:ascii="黑体" w:hAnsi="黑体" w:eastAsia="黑体"/>
          <w:b/>
          <w:sz w:val="32"/>
          <w:szCs w:val="32"/>
        </w:rPr>
        <w:t>三、参赛要求</w:t>
      </w:r>
    </w:p>
    <w:p w14:paraId="5144D7C4">
      <w:pPr>
        <w:ind w:firstLine="640" w:firstLineChars="200"/>
        <w:rPr>
          <w:rFonts w:ascii="仿宋_GB2312" w:hAnsi="仿宋" w:eastAsia="仿宋_GB2312"/>
          <w:sz w:val="32"/>
          <w:szCs w:val="32"/>
        </w:rPr>
      </w:pPr>
      <w:r>
        <w:rPr>
          <w:rFonts w:hint="eastAsia" w:ascii="仿宋_GB2312" w:hAnsi="仿宋" w:eastAsia="仿宋_GB2312"/>
          <w:sz w:val="32"/>
          <w:szCs w:val="32"/>
        </w:rPr>
        <w:t>1.参赛项目需紧密结合社会发展与产业需求，培育新产品、新业态、新模式，聚焦医疗科技与全民健康、现代农业与绿色科技、文旅融合与创意设计、数据发展与治理创新等领域，推动创新与多学科交叉融合，促进人文社科成果与实体经济、国际交流场景深度对接。</w:t>
      </w:r>
    </w:p>
    <w:p w14:paraId="3DB7A969">
      <w:pPr>
        <w:ind w:firstLine="640" w:firstLineChars="200"/>
        <w:rPr>
          <w:rFonts w:ascii="仿宋_GB2312" w:hAnsi="仿宋" w:eastAsia="仿宋_GB2312"/>
          <w:sz w:val="32"/>
          <w:szCs w:val="32"/>
        </w:rPr>
      </w:pPr>
      <w:r>
        <w:rPr>
          <w:rFonts w:hint="eastAsia" w:ascii="仿宋_GB2312" w:hAnsi="仿宋" w:eastAsia="仿宋_GB2312"/>
          <w:sz w:val="32"/>
          <w:szCs w:val="32"/>
        </w:rPr>
        <w:t>2.参赛项目须弘扬正能量，内容真实、健康、合法，无任何违反法律法规的情形；项目所涉发明创造、专利技术、资源等拥有清晰合法的知识产权或物权，严禁抄袭盗用他人成果、提供虚假材料，一经发现立即取消参赛资格及所获奖项，相关主体自负一切法律责任。</w:t>
      </w:r>
    </w:p>
    <w:p w14:paraId="35FA34A8">
      <w:pPr>
        <w:ind w:firstLine="640" w:firstLineChars="200"/>
        <w:rPr>
          <w:rFonts w:ascii="仿宋_GB2312" w:hAnsi="仿宋" w:eastAsia="仿宋_GB2312"/>
          <w:sz w:val="32"/>
          <w:szCs w:val="32"/>
        </w:rPr>
      </w:pPr>
      <w:r>
        <w:rPr>
          <w:rFonts w:hint="eastAsia" w:ascii="仿宋_GB2312" w:hAnsi="仿宋" w:eastAsia="仿宋_GB2312"/>
          <w:sz w:val="32"/>
          <w:szCs w:val="32"/>
        </w:rPr>
        <w:t>3.参赛项目须按要求选择对应组别报名，参赛团队需在报名系统按时、如实填写提交全部材料；已获往届大赛总决赛各赛道金奖、银奖的项目，不得报名本次大赛。</w:t>
      </w:r>
    </w:p>
    <w:p w14:paraId="1AF555D8">
      <w:pPr>
        <w:ind w:firstLine="640" w:firstLineChars="200"/>
        <w:rPr>
          <w:rFonts w:ascii="仿宋_GB2312" w:hAnsi="仿宋" w:eastAsia="仿宋_GB2312"/>
          <w:sz w:val="32"/>
          <w:szCs w:val="32"/>
        </w:rPr>
      </w:pPr>
      <w:r>
        <w:rPr>
          <w:rFonts w:hint="eastAsia" w:ascii="仿宋_GB2312" w:hAnsi="仿宋" w:eastAsia="仿宋_GB2312"/>
          <w:sz w:val="32"/>
          <w:szCs w:val="32"/>
        </w:rPr>
        <w:t>4.参赛人员年龄原则上不超过35岁（1991年3月1日及以后出生）。</w:t>
      </w:r>
    </w:p>
    <w:p w14:paraId="2F180723">
      <w:pPr>
        <w:rPr>
          <w:rFonts w:ascii="黑体" w:hAnsi="黑体" w:eastAsia="黑体"/>
          <w:b/>
          <w:sz w:val="32"/>
          <w:szCs w:val="32"/>
        </w:rPr>
      </w:pPr>
      <w:r>
        <w:rPr>
          <w:rFonts w:hint="eastAsia" w:ascii="黑体" w:hAnsi="黑体" w:eastAsia="黑体"/>
          <w:b/>
          <w:sz w:val="32"/>
          <w:szCs w:val="32"/>
        </w:rPr>
        <w:t>四、赛道类别</w:t>
      </w:r>
    </w:p>
    <w:p w14:paraId="62C4D6EB">
      <w:pPr>
        <w:ind w:firstLine="640" w:firstLineChars="200"/>
        <w:rPr>
          <w:rFonts w:ascii="仿宋_GB2312" w:hAnsi="仿宋" w:eastAsia="仿宋_GB2312"/>
          <w:sz w:val="32"/>
          <w:szCs w:val="32"/>
        </w:rPr>
      </w:pPr>
      <w:r>
        <w:rPr>
          <w:rFonts w:hint="eastAsia" w:ascii="仿宋_GB2312" w:hAnsi="仿宋" w:eastAsia="仿宋_GB2312"/>
          <w:sz w:val="32"/>
          <w:szCs w:val="32"/>
        </w:rPr>
        <w:t>美加芬区域赛赛道包括以下四类：</w:t>
      </w:r>
    </w:p>
    <w:p w14:paraId="786F402F">
      <w:pPr>
        <w:ind w:firstLine="640" w:firstLineChars="200"/>
        <w:rPr>
          <w:rFonts w:ascii="仿宋_GB2312" w:hAnsi="仿宋" w:eastAsia="仿宋_GB2312"/>
          <w:sz w:val="32"/>
          <w:szCs w:val="32"/>
        </w:rPr>
      </w:pPr>
      <w:r>
        <w:rPr>
          <w:rFonts w:hint="eastAsia" w:ascii="仿宋_GB2312" w:hAnsi="仿宋" w:eastAsia="仿宋_GB2312"/>
          <w:sz w:val="32"/>
          <w:szCs w:val="32"/>
        </w:rPr>
        <w:t>（一）医疗科技与全民健康赛道</w:t>
      </w:r>
    </w:p>
    <w:p w14:paraId="25511EAF">
      <w:pPr>
        <w:ind w:firstLine="640" w:firstLineChars="200"/>
        <w:rPr>
          <w:rFonts w:ascii="仿宋_GB2312" w:hAnsi="仿宋" w:eastAsia="仿宋_GB2312"/>
          <w:sz w:val="32"/>
          <w:szCs w:val="32"/>
        </w:rPr>
      </w:pPr>
      <w:r>
        <w:rPr>
          <w:rFonts w:hint="eastAsia" w:ascii="仿宋_GB2312" w:hAnsi="仿宋" w:eastAsia="仿宋_GB2312"/>
          <w:sz w:val="32"/>
          <w:szCs w:val="32"/>
        </w:rPr>
        <w:t>涵盖方向：现代医疗技术、生物制造、生物材料、创新药、医疗器械、脑机接口、精准医疗、康复护理、健康康养、食药保健等领域。</w:t>
      </w:r>
    </w:p>
    <w:p w14:paraId="1B8E80D9">
      <w:pPr>
        <w:ind w:firstLine="640" w:firstLineChars="200"/>
        <w:rPr>
          <w:rFonts w:ascii="仿宋_GB2312" w:hAnsi="仿宋" w:eastAsia="仿宋_GB2312"/>
          <w:sz w:val="32"/>
          <w:szCs w:val="32"/>
        </w:rPr>
      </w:pPr>
      <w:r>
        <w:rPr>
          <w:rFonts w:hint="eastAsia" w:ascii="仿宋_GB2312" w:hAnsi="仿宋" w:eastAsia="仿宋_GB2312"/>
          <w:sz w:val="32"/>
          <w:szCs w:val="32"/>
        </w:rPr>
        <w:t>（二）现代农业与绿色科技赛道</w:t>
      </w:r>
    </w:p>
    <w:p w14:paraId="61DCFDB3">
      <w:pPr>
        <w:ind w:firstLine="640" w:firstLineChars="200"/>
        <w:rPr>
          <w:rFonts w:ascii="仿宋_GB2312" w:hAnsi="仿宋" w:eastAsia="仿宋_GB2312"/>
          <w:sz w:val="32"/>
          <w:szCs w:val="32"/>
        </w:rPr>
      </w:pPr>
      <w:r>
        <w:rPr>
          <w:rFonts w:hint="eastAsia" w:ascii="仿宋_GB2312" w:hAnsi="仿宋" w:eastAsia="仿宋_GB2312"/>
          <w:sz w:val="32"/>
          <w:szCs w:val="32"/>
        </w:rPr>
        <w:t>涵盖方向：现代种业、农业大数据、现代农机装备、绿色农产品、食品营养、休闲农业、森林康养、农业节水、生态修复、农业碳汇等领域。</w:t>
      </w:r>
    </w:p>
    <w:p w14:paraId="73A50B7A">
      <w:pPr>
        <w:ind w:firstLine="640" w:firstLineChars="200"/>
        <w:rPr>
          <w:rFonts w:ascii="仿宋_GB2312" w:hAnsi="仿宋" w:eastAsia="仿宋_GB2312"/>
          <w:sz w:val="32"/>
          <w:szCs w:val="32"/>
        </w:rPr>
      </w:pPr>
      <w:r>
        <w:rPr>
          <w:rFonts w:hint="eastAsia" w:ascii="仿宋_GB2312" w:hAnsi="仿宋" w:eastAsia="仿宋_GB2312"/>
          <w:sz w:val="32"/>
          <w:szCs w:val="32"/>
        </w:rPr>
        <w:t>（三）文旅融合与创意设计赛道</w:t>
      </w:r>
    </w:p>
    <w:p w14:paraId="0DD07796">
      <w:pPr>
        <w:ind w:firstLine="640" w:firstLineChars="200"/>
        <w:rPr>
          <w:rFonts w:ascii="仿宋_GB2312" w:hAnsi="仿宋" w:eastAsia="仿宋_GB2312"/>
          <w:sz w:val="32"/>
          <w:szCs w:val="32"/>
        </w:rPr>
      </w:pPr>
      <w:r>
        <w:rPr>
          <w:rFonts w:hint="eastAsia" w:ascii="仿宋_GB2312" w:hAnsi="仿宋" w:eastAsia="仿宋_GB2312"/>
          <w:sz w:val="32"/>
          <w:szCs w:val="32"/>
        </w:rPr>
        <w:t>涵盖方向：文化教育、旅游休闲、会展服务、体育赛事经济、冰雪经济、非物质文化遗产保护、文创设计与开发、数字动漫、短视频、融媒体等。</w:t>
      </w:r>
    </w:p>
    <w:p w14:paraId="72998345">
      <w:pPr>
        <w:numPr>
          <w:ilvl w:val="0"/>
          <w:numId w:val="1"/>
        </w:numPr>
        <w:ind w:firstLine="640" w:firstLineChars="200"/>
        <w:rPr>
          <w:rFonts w:ascii="仿宋_GB2312" w:hAnsi="仿宋" w:eastAsia="仿宋_GB2312"/>
          <w:b/>
          <w:sz w:val="32"/>
          <w:szCs w:val="32"/>
        </w:rPr>
      </w:pPr>
      <w:r>
        <w:rPr>
          <w:rFonts w:hint="eastAsia" w:ascii="仿宋_GB2312" w:hAnsi="仿宋" w:eastAsia="仿宋_GB2312"/>
          <w:sz w:val="32"/>
          <w:szCs w:val="32"/>
        </w:rPr>
        <w:t>数据发展与治理创新赛道（详见附件）</w:t>
      </w:r>
    </w:p>
    <w:p w14:paraId="7832484F">
      <w:pPr>
        <w:rPr>
          <w:rFonts w:ascii="黑体" w:hAnsi="黑体" w:eastAsia="黑体"/>
          <w:b/>
          <w:sz w:val="32"/>
          <w:szCs w:val="32"/>
        </w:rPr>
      </w:pPr>
      <w:r>
        <w:rPr>
          <w:rFonts w:hint="eastAsia" w:ascii="黑体" w:hAnsi="黑体" w:eastAsia="黑体"/>
          <w:b/>
          <w:sz w:val="32"/>
          <w:szCs w:val="32"/>
        </w:rPr>
        <w:t>五、参赛方式</w:t>
      </w:r>
    </w:p>
    <w:p w14:paraId="40D4EA39">
      <w:pPr>
        <w:ind w:firstLine="640" w:firstLineChars="200"/>
        <w:rPr>
          <w:rFonts w:ascii="仿宋_GB2312" w:hAnsi="仿宋" w:eastAsia="仿宋_GB2312"/>
          <w:sz w:val="32"/>
          <w:szCs w:val="32"/>
        </w:rPr>
      </w:pPr>
      <w:r>
        <w:rPr>
          <w:rFonts w:hint="eastAsia" w:ascii="仿宋_GB2312" w:hAnsi="仿宋" w:eastAsia="仿宋_GB2312"/>
          <w:sz w:val="32"/>
          <w:szCs w:val="32"/>
        </w:rPr>
        <w:t>大赛以团队为单位报名参赛，允许跨校组队，每个团队成员不少于2人、不多于15人（含团队负责人），均为项目实际核心成员。</w:t>
      </w:r>
    </w:p>
    <w:p w14:paraId="0571EE91">
      <w:pPr>
        <w:ind w:firstLine="640" w:firstLineChars="200"/>
        <w:rPr>
          <w:rFonts w:ascii="仿宋_GB2312" w:hAnsi="仿宋" w:eastAsia="仿宋_GB2312"/>
          <w:sz w:val="32"/>
          <w:szCs w:val="32"/>
        </w:rPr>
      </w:pPr>
      <w:r>
        <w:rPr>
          <w:rFonts w:hint="eastAsia" w:ascii="仿宋_GB2312" w:hAnsi="仿宋" w:eastAsia="仿宋_GB2312"/>
          <w:sz w:val="32"/>
          <w:szCs w:val="32"/>
        </w:rPr>
        <w:t>参赛团队所有成员原则上须为具有美国、加拿大、芬兰普通高等院校（三者具备其一）学籍；参赛申报人为团队负责人，根据其学籍或学历确定参赛代表学校，且代表学校具有唯一性。美国、加拿大、芬兰普通高等院校指设立于美国、加拿大、芬兰具有独立办学资质、可独立授予美国、加拿大学历或学位的普通高等学校及专科院校；具有美国、加拿大、芬兰普通高等院校（三者具备其一）学籍指已在该校注册且具备获授该校学历或学位的资格。</w:t>
      </w:r>
    </w:p>
    <w:p w14:paraId="681369CA">
      <w:pPr>
        <w:ind w:firstLine="640" w:firstLineChars="200"/>
        <w:rPr>
          <w:rFonts w:ascii="仿宋_GB2312" w:hAnsi="仿宋" w:eastAsia="仿宋_GB2312"/>
          <w:sz w:val="32"/>
          <w:szCs w:val="32"/>
        </w:rPr>
      </w:pPr>
      <w:r>
        <w:rPr>
          <w:rFonts w:hint="eastAsia" w:ascii="仿宋_GB2312" w:hAnsi="仿宋" w:eastAsia="仿宋_GB2312"/>
          <w:sz w:val="32"/>
          <w:szCs w:val="32"/>
        </w:rPr>
        <w:t>根据项目发展阶段，设置创意组、创业组，具体条件如下：</w:t>
      </w:r>
    </w:p>
    <w:p w14:paraId="7AF11481">
      <w:pPr>
        <w:ind w:firstLine="640" w:firstLineChars="200"/>
        <w:rPr>
          <w:rFonts w:ascii="仿宋_GB2312" w:hAnsi="仿宋" w:eastAsia="仿宋_GB2312"/>
          <w:sz w:val="32"/>
          <w:szCs w:val="32"/>
        </w:rPr>
      </w:pPr>
      <w:r>
        <w:rPr>
          <w:rFonts w:hint="eastAsia" w:ascii="仿宋_GB2312" w:hAnsi="仿宋" w:eastAsia="仿宋_GB2312"/>
          <w:sz w:val="32"/>
          <w:szCs w:val="32"/>
        </w:rPr>
        <w:t>1.创意组：参赛项目具有良好创意及较为成型的产品原型或服务模式，2026年4月30日前尚未完成工商等各类登记注册；申报人为项目负责人，负责人及全体成员均为在校生。</w:t>
      </w:r>
    </w:p>
    <w:p w14:paraId="3569E0CD">
      <w:pPr>
        <w:ind w:firstLine="640" w:firstLineChars="200"/>
        <w:rPr>
          <w:rFonts w:ascii="仿宋_GB2312" w:hAnsi="仿宋" w:eastAsia="仿宋_GB2312"/>
          <w:sz w:val="32"/>
          <w:szCs w:val="32"/>
        </w:rPr>
      </w:pPr>
      <w:r>
        <w:rPr>
          <w:rFonts w:hint="eastAsia" w:ascii="仿宋_GB2312" w:hAnsi="仿宋" w:eastAsia="仿宋_GB2312"/>
          <w:sz w:val="32"/>
          <w:szCs w:val="32"/>
        </w:rPr>
        <w:t>2.创业组：参赛项目2026年4月30日前已完成工商等各类登记注册；申报人为项目负责人且为参赛企业法定代表人。</w:t>
      </w:r>
    </w:p>
    <w:p w14:paraId="2F523ED1">
      <w:pPr>
        <w:rPr>
          <w:rFonts w:ascii="黑体" w:hAnsi="黑体" w:eastAsia="黑体"/>
          <w:b/>
          <w:sz w:val="32"/>
          <w:szCs w:val="32"/>
        </w:rPr>
      </w:pPr>
      <w:r>
        <w:rPr>
          <w:rFonts w:hint="eastAsia" w:ascii="黑体" w:hAnsi="黑体" w:eastAsia="黑体"/>
          <w:b/>
          <w:sz w:val="32"/>
          <w:szCs w:val="32"/>
        </w:rPr>
        <w:t>六、赛事安排</w:t>
      </w:r>
    </w:p>
    <w:p w14:paraId="068B1A61">
      <w:pPr>
        <w:ind w:firstLine="640" w:firstLineChars="200"/>
        <w:rPr>
          <w:rFonts w:ascii="仿宋_GB2312" w:hAnsi="仿宋" w:eastAsia="仿宋_GB2312"/>
          <w:sz w:val="32"/>
          <w:szCs w:val="32"/>
        </w:rPr>
      </w:pPr>
      <w:r>
        <w:rPr>
          <w:rFonts w:hint="eastAsia" w:ascii="仿宋_GB2312" w:hAnsi="仿宋" w:eastAsia="仿宋_GB2312"/>
          <w:sz w:val="32"/>
          <w:szCs w:val="32"/>
        </w:rPr>
        <w:t>赛事由组委会统一组织，分资格审核、网络评审、现场比赛三个阶段推进，具体安排如下：</w:t>
      </w:r>
    </w:p>
    <w:p w14:paraId="624BBB97">
      <w:pPr>
        <w:ind w:firstLine="640" w:firstLineChars="200"/>
        <w:rPr>
          <w:rFonts w:ascii="仿宋_GB2312" w:hAnsi="仿宋" w:eastAsia="仿宋_GB2312"/>
          <w:sz w:val="32"/>
          <w:szCs w:val="32"/>
        </w:rPr>
      </w:pPr>
      <w:r>
        <w:rPr>
          <w:rFonts w:hint="eastAsia" w:ascii="仿宋_GB2312" w:hAnsi="仿宋" w:eastAsia="仿宋_GB2312"/>
          <w:sz w:val="32"/>
          <w:szCs w:val="32"/>
        </w:rPr>
        <w:t>1.资格审核（2026年7月上旬：组委会依据评审规则核心要点，对报名项目的参赛资格、材料完整性及合规性进行全面审核，审核结果公示并通知相关团队。</w:t>
      </w:r>
    </w:p>
    <w:p w14:paraId="10FF2FC4">
      <w:pPr>
        <w:ind w:firstLine="640" w:firstLineChars="200"/>
        <w:rPr>
          <w:rFonts w:ascii="仿宋_GB2312" w:hAnsi="仿宋" w:eastAsia="仿宋_GB2312"/>
          <w:sz w:val="32"/>
          <w:szCs w:val="32"/>
        </w:rPr>
      </w:pPr>
      <w:r>
        <w:rPr>
          <w:rFonts w:hint="eastAsia" w:ascii="仿宋_GB2312" w:hAnsi="仿宋" w:eastAsia="仿宋_GB2312"/>
          <w:sz w:val="32"/>
          <w:szCs w:val="32"/>
        </w:rPr>
        <w:t>2.网络评审（2026年7月下旬）：对资格审核合格的项目开展网络评审，从创新性、可行性、产业化潜力、团队实力等维度综合打分，确定入围现场决赛的项目名单并公示。</w:t>
      </w:r>
    </w:p>
    <w:p w14:paraId="07C3990E">
      <w:pPr>
        <w:ind w:firstLine="640" w:firstLineChars="200"/>
        <w:rPr>
          <w:rFonts w:ascii="仿宋_GB2312" w:hAnsi="仿宋" w:eastAsia="仿宋_GB2312"/>
          <w:sz w:val="32"/>
          <w:szCs w:val="32"/>
        </w:rPr>
      </w:pPr>
      <w:r>
        <w:rPr>
          <w:rFonts w:hint="eastAsia" w:ascii="仿宋_GB2312" w:hAnsi="仿宋" w:eastAsia="仿宋_GB2312"/>
          <w:sz w:val="32"/>
          <w:szCs w:val="32"/>
        </w:rPr>
        <w:t>3.现场比赛（2026年8月初）：网评优胜项目将参加现场决赛，进行路演答辩；无法现场参赛的团队，可通过线上路演方式完成答辩评审，保障赛事公平性。</w:t>
      </w:r>
    </w:p>
    <w:p w14:paraId="4BED1F11">
      <w:pPr>
        <w:rPr>
          <w:rFonts w:ascii="黑体" w:hAnsi="黑体" w:eastAsia="黑体"/>
          <w:b/>
          <w:sz w:val="32"/>
          <w:szCs w:val="32"/>
        </w:rPr>
      </w:pPr>
      <w:r>
        <w:rPr>
          <w:rFonts w:hint="eastAsia" w:ascii="黑体" w:hAnsi="黑体" w:eastAsia="黑体"/>
          <w:b/>
          <w:sz w:val="32"/>
          <w:szCs w:val="32"/>
        </w:rPr>
        <w:t>七、奖项设置</w:t>
      </w:r>
    </w:p>
    <w:p w14:paraId="3147D867">
      <w:pPr>
        <w:ind w:firstLine="640" w:firstLineChars="200"/>
        <w:rPr>
          <w:rFonts w:ascii="仿宋_GB2312" w:hAnsi="仿宋" w:eastAsia="仿宋_GB2312"/>
          <w:sz w:val="32"/>
          <w:szCs w:val="32"/>
        </w:rPr>
      </w:pPr>
      <w:r>
        <w:rPr>
          <w:rFonts w:hint="eastAsia" w:ascii="仿宋_GB2312" w:hAnsi="仿宋" w:eastAsia="仿宋_GB2312"/>
          <w:sz w:val="32"/>
          <w:szCs w:val="32"/>
        </w:rPr>
        <w:t>1.各区域赛设一等奖（3名）、二等奖（6名）、三等奖（11名），每场区域赛遴选20个项目入围现场总决赛，三场区域赛共计遴选60个项目入围现场决赛。</w:t>
      </w:r>
    </w:p>
    <w:p w14:paraId="347D11CC">
      <w:pPr>
        <w:ind w:firstLine="640" w:firstLineChars="200"/>
        <w:rPr>
          <w:rFonts w:ascii="仿宋_GB2312" w:hAnsi="仿宋" w:eastAsia="仿宋_GB2312"/>
          <w:sz w:val="32"/>
          <w:szCs w:val="32"/>
        </w:rPr>
      </w:pPr>
      <w:r>
        <w:rPr>
          <w:rFonts w:hint="eastAsia" w:ascii="仿宋_GB2312" w:hAnsi="仿宋" w:eastAsia="仿宋_GB2312"/>
          <w:sz w:val="32"/>
          <w:szCs w:val="32"/>
        </w:rPr>
        <w:t>2.所有决赛获奖者将获得一定的现金奖励以及赛事荣誉证书。</w:t>
      </w:r>
    </w:p>
    <w:p w14:paraId="110D1ACD">
      <w:pPr>
        <w:ind w:firstLine="640" w:firstLineChars="200"/>
        <w:rPr>
          <w:rFonts w:ascii="仿宋_GB2312" w:hAnsi="仿宋" w:eastAsia="仿宋_GB2312"/>
          <w:sz w:val="32"/>
          <w:szCs w:val="32"/>
        </w:rPr>
      </w:pPr>
      <w:r>
        <w:rPr>
          <w:rFonts w:hint="eastAsia" w:ascii="仿宋_GB2312" w:hAnsi="仿宋" w:eastAsia="仿宋_GB2312"/>
          <w:sz w:val="32"/>
          <w:szCs w:val="32"/>
        </w:rPr>
        <w:t>3.决赛获奖者将有机会获赞助赴中国开展企业参访、产业对接、科创交流、文化体验等活动。</w:t>
      </w:r>
    </w:p>
    <w:p w14:paraId="6BB4ED1A">
      <w:pPr>
        <w:ind w:firstLine="640" w:firstLineChars="200"/>
        <w:rPr>
          <w:rFonts w:ascii="仿宋_GB2312" w:hAnsi="仿宋" w:eastAsia="仿宋_GB2312"/>
          <w:sz w:val="32"/>
          <w:szCs w:val="32"/>
        </w:rPr>
      </w:pPr>
      <w:r>
        <w:rPr>
          <w:rFonts w:hint="eastAsia" w:ascii="仿宋_GB2312" w:hAnsi="仿宋" w:eastAsia="仿宋_GB2312"/>
          <w:sz w:val="32"/>
          <w:szCs w:val="32"/>
        </w:rPr>
        <w:t>4.决赛获得一等奖项目直接推荐入围中国国际大学生创新大赛（2026）国际项目总决赛；二等奖、三等奖项目推荐入围国际项目网评环节，通过竞争晋级总决赛。</w:t>
      </w:r>
    </w:p>
    <w:p w14:paraId="45EF5A31">
      <w:pPr>
        <w:rPr>
          <w:rFonts w:ascii="黑体" w:hAnsi="黑体" w:eastAsia="黑体"/>
          <w:b/>
          <w:sz w:val="32"/>
          <w:szCs w:val="32"/>
        </w:rPr>
      </w:pPr>
      <w:r>
        <w:rPr>
          <w:rFonts w:hint="eastAsia" w:ascii="黑体" w:hAnsi="黑体" w:eastAsia="黑体"/>
          <w:b/>
          <w:sz w:val="32"/>
          <w:szCs w:val="32"/>
        </w:rPr>
        <w:t>八、参赛报名</w:t>
      </w:r>
    </w:p>
    <w:p w14:paraId="74470A8E">
      <w:pPr>
        <w:ind w:firstLine="640" w:firstLineChars="200"/>
        <w:rPr>
          <w:rFonts w:ascii="仿宋_GB2312" w:hAnsi="仿宋" w:eastAsia="仿宋_GB2312"/>
          <w:sz w:val="32"/>
          <w:szCs w:val="32"/>
        </w:rPr>
      </w:pPr>
      <w:r>
        <w:rPr>
          <w:rFonts w:hint="eastAsia" w:ascii="仿宋_GB2312" w:hAnsi="仿宋" w:eastAsia="仿宋_GB2312"/>
          <w:sz w:val="32"/>
          <w:szCs w:val="32"/>
        </w:rPr>
        <w:t>1.参赛团队登录全球青年创新领袖共同体促进会（PILC）官网（网址：https://www.pilcchina.org/）进行注册报名并提交参赛材料。</w:t>
      </w:r>
    </w:p>
    <w:p w14:paraId="00059351">
      <w:pPr>
        <w:ind w:firstLine="640" w:firstLineChars="200"/>
        <w:rPr>
          <w:rFonts w:ascii="仿宋_GB2312" w:hAnsi="仿宋" w:eastAsia="仿宋_GB2312"/>
          <w:sz w:val="32"/>
          <w:szCs w:val="32"/>
        </w:rPr>
      </w:pPr>
      <w:r>
        <w:rPr>
          <w:rFonts w:hint="eastAsia" w:ascii="仿宋_GB2312" w:hAnsi="仿宋" w:eastAsia="仿宋_GB2312"/>
          <w:sz w:val="32"/>
          <w:szCs w:val="32"/>
        </w:rPr>
        <w:t>2.参赛项目须提交PPT格式商业计划书（转换为PDF格式上传），可自愿提交Word格式商业计划书或1分钟项目宣传视频作为辅助资料。</w:t>
      </w:r>
    </w:p>
    <w:p w14:paraId="5E708CD6">
      <w:pPr>
        <w:ind w:firstLine="640" w:firstLineChars="200"/>
        <w:rPr>
          <w:rFonts w:ascii="仿宋_GB2312" w:hAnsi="仿宋" w:eastAsia="仿宋_GB2312"/>
          <w:sz w:val="32"/>
          <w:szCs w:val="32"/>
        </w:rPr>
      </w:pPr>
      <w:r>
        <w:rPr>
          <w:rFonts w:hint="eastAsia" w:ascii="仿宋_GB2312" w:hAnsi="仿宋" w:eastAsia="仿宋_GB2312"/>
          <w:sz w:val="32"/>
          <w:szCs w:val="32"/>
        </w:rPr>
        <w:t>3.报名截止日前，所有团队成员须提交学籍/学历证明或持股证明；有指导教师的团队，须在报名系统完整填报指导教师相关信息。</w:t>
      </w:r>
    </w:p>
    <w:p w14:paraId="1F62C46A">
      <w:pPr>
        <w:ind w:firstLine="640" w:firstLineChars="200"/>
        <w:rPr>
          <w:rFonts w:ascii="仿宋_GB2312" w:hAnsi="仿宋" w:eastAsia="仿宋_GB2312"/>
          <w:sz w:val="32"/>
          <w:szCs w:val="32"/>
        </w:rPr>
      </w:pPr>
      <w:r>
        <w:rPr>
          <w:rFonts w:hint="eastAsia" w:ascii="仿宋_GB2312" w:hAnsi="仿宋" w:eastAsia="仿宋_GB2312"/>
          <w:sz w:val="32"/>
          <w:szCs w:val="32"/>
        </w:rPr>
        <w:t>4.所有参赛材料提交、现场/线上答辩，原则上使用中文或英文。</w:t>
      </w:r>
    </w:p>
    <w:p w14:paraId="4DC9EE34">
      <w:pPr>
        <w:rPr>
          <w:rFonts w:ascii="黑体" w:hAnsi="黑体" w:eastAsia="黑体"/>
          <w:b/>
          <w:sz w:val="32"/>
          <w:szCs w:val="32"/>
        </w:rPr>
      </w:pPr>
      <w:r>
        <w:rPr>
          <w:rFonts w:hint="eastAsia" w:ascii="黑体" w:hAnsi="黑体" w:eastAsia="黑体"/>
          <w:b/>
          <w:sz w:val="32"/>
          <w:szCs w:val="32"/>
        </w:rPr>
        <w:t>九、评审规则</w:t>
      </w:r>
    </w:p>
    <w:p w14:paraId="3BD276FE">
      <w:pPr>
        <w:ind w:firstLine="640" w:firstLineChars="200"/>
        <w:rPr>
          <w:rFonts w:ascii="仿宋_GB2312" w:hAnsi="仿宋" w:eastAsia="仿宋_GB2312"/>
          <w:sz w:val="32"/>
          <w:szCs w:val="32"/>
        </w:rPr>
      </w:pPr>
      <w:r>
        <w:rPr>
          <w:rFonts w:hint="eastAsia" w:ascii="仿宋_GB2312" w:hAnsi="仿宋" w:eastAsia="仿宋_GB2312"/>
          <w:sz w:val="32"/>
          <w:szCs w:val="32"/>
        </w:rPr>
        <w:t>本届美加芬区域赛评审规则、评分细则及赛事最新说明，可登录全（大赛网址）或全球青年创新领袖共同体促进会（PILC）官网（https://www.pilcchina.org/）查询。评审工作坚持“公平、公正、公开”原则，组建由国赛评审专家、中国与美加芬高校知名学者、产业领袖、投融资专家构成的评审专家库，全程规范开展评审工作。</w:t>
      </w:r>
    </w:p>
    <w:p w14:paraId="61EE2F20">
      <w:pPr>
        <w:rPr>
          <w:rFonts w:ascii="黑体" w:hAnsi="黑体" w:eastAsia="黑体"/>
          <w:b/>
          <w:sz w:val="32"/>
          <w:szCs w:val="32"/>
        </w:rPr>
      </w:pPr>
      <w:r>
        <w:rPr>
          <w:rFonts w:hint="eastAsia" w:ascii="黑体" w:hAnsi="黑体" w:eastAsia="黑体"/>
          <w:b/>
          <w:sz w:val="32"/>
          <w:szCs w:val="32"/>
        </w:rPr>
        <w:t>十、其他</w:t>
      </w:r>
    </w:p>
    <w:p w14:paraId="751F7E64">
      <w:pPr>
        <w:ind w:firstLine="640" w:firstLineChars="200"/>
        <w:rPr>
          <w:rFonts w:ascii="仿宋_GB2312" w:hAnsi="仿宋" w:eastAsia="仿宋_GB2312"/>
          <w:sz w:val="32"/>
          <w:szCs w:val="32"/>
        </w:rPr>
      </w:pPr>
      <w:r>
        <w:rPr>
          <w:rFonts w:hint="eastAsia" w:ascii="仿宋_GB2312" w:hAnsi="仿宋" w:eastAsia="仿宋_GB2312"/>
          <w:sz w:val="32"/>
          <w:szCs w:val="32"/>
        </w:rPr>
        <w:t>本方案所涉条款的最终解释权归中国国际大学生创新大赛（2026）美加芬赛区组委会所有。赛事组委会将根据实际情况对赛程、报名时间等进行合理调整，相关调整将通过官方指定平台提前公示。</w:t>
      </w:r>
    </w:p>
    <w:p w14:paraId="280CB91B">
      <w:pPr>
        <w:ind w:firstLine="643" w:firstLineChars="200"/>
        <w:rPr>
          <w:rFonts w:ascii="仿宋_GB2312" w:hAnsi="仿宋" w:eastAsia="仿宋_GB2312"/>
          <w:b/>
          <w:sz w:val="32"/>
          <w:szCs w:val="32"/>
        </w:rPr>
      </w:pPr>
      <w:r>
        <w:rPr>
          <w:rFonts w:hint="eastAsia" w:ascii="仿宋_GB2312" w:hAnsi="仿宋" w:eastAsia="仿宋_GB2312"/>
          <w:b/>
          <w:sz w:val="32"/>
          <w:szCs w:val="32"/>
        </w:rPr>
        <w:t>十二、联系方式</w:t>
      </w:r>
    </w:p>
    <w:p w14:paraId="3C3798F3">
      <w:pPr>
        <w:ind w:firstLine="640" w:firstLineChars="200"/>
        <w:rPr>
          <w:rFonts w:ascii="仿宋_GB2312" w:hAnsi="仿宋" w:eastAsia="仿宋_GB2312"/>
          <w:sz w:val="32"/>
          <w:szCs w:val="32"/>
        </w:rPr>
      </w:pPr>
      <w:r>
        <w:rPr>
          <w:rFonts w:hint="eastAsia" w:ascii="仿宋_GB2312" w:hAnsi="仿宋" w:eastAsia="仿宋_GB2312"/>
          <w:sz w:val="32"/>
          <w:szCs w:val="32"/>
        </w:rPr>
        <w:t>组委会秘书处</w:t>
      </w:r>
    </w:p>
    <w:p w14:paraId="6ACE52FD">
      <w:pPr>
        <w:ind w:firstLine="640" w:firstLineChars="200"/>
        <w:rPr>
          <w:rFonts w:ascii="仿宋_GB2312" w:hAnsi="仿宋" w:eastAsia="仿宋_GB2312"/>
          <w:sz w:val="32"/>
          <w:szCs w:val="32"/>
        </w:rPr>
      </w:pPr>
      <w:r>
        <w:rPr>
          <w:rFonts w:hint="eastAsia" w:ascii="仿宋_GB2312" w:hAnsi="仿宋" w:eastAsia="仿宋_GB2312"/>
          <w:sz w:val="32"/>
          <w:szCs w:val="32"/>
        </w:rPr>
        <w:t>电话： 86-25-89683504     邮箱： stuex@nju.edu.cn</w:t>
      </w:r>
      <w:r>
        <w:rPr>
          <w:rFonts w:ascii="仿宋_GB2312" w:hAnsi="仿宋" w:eastAsia="仿宋_GB2312"/>
          <w:sz w:val="32"/>
          <w:szCs w:val="32"/>
        </w:rPr>
        <w:t xml:space="preserve"> </w:t>
      </w:r>
    </w:p>
    <w:p w14:paraId="585DDC24">
      <w:pPr>
        <w:rPr>
          <w:rFonts w:ascii="仿宋_GB2312" w:hAnsi="仿宋" w:eastAsia="仿宋_GB2312"/>
          <w:sz w:val="32"/>
          <w:szCs w:val="32"/>
        </w:rPr>
      </w:pPr>
    </w:p>
    <w:p w14:paraId="42FAA5F5">
      <w:pPr>
        <w:ind w:left="640" w:firstLine="640" w:firstLineChars="200"/>
        <w:jc w:val="right"/>
        <w:rPr>
          <w:rFonts w:ascii="仿宋_GB2312" w:hAnsi="仿宋" w:eastAsia="仿宋_GB2312"/>
          <w:sz w:val="32"/>
          <w:szCs w:val="32"/>
        </w:rPr>
      </w:pPr>
      <w:r>
        <w:rPr>
          <w:rFonts w:hint="eastAsia" w:ascii="仿宋_GB2312" w:hAnsi="仿宋" w:eastAsia="仿宋_GB2312"/>
          <w:sz w:val="32"/>
          <w:szCs w:val="32"/>
        </w:rPr>
        <w:t>中国国际大学生创新大赛（</w:t>
      </w:r>
      <w:r>
        <w:rPr>
          <w:rFonts w:ascii="仿宋_GB2312" w:hAnsi="仿宋" w:eastAsia="仿宋_GB2312"/>
          <w:sz w:val="32"/>
          <w:szCs w:val="32"/>
        </w:rPr>
        <w:t>2026）</w:t>
      </w:r>
    </w:p>
    <w:p w14:paraId="1DF8F2E2">
      <w:pPr>
        <w:ind w:left="640" w:firstLine="640" w:firstLineChars="200"/>
        <w:jc w:val="right"/>
        <w:rPr>
          <w:rFonts w:ascii="仿宋_GB2312" w:hAnsi="仿宋" w:eastAsia="仿宋_GB2312"/>
          <w:sz w:val="32"/>
          <w:szCs w:val="32"/>
        </w:rPr>
      </w:pPr>
      <w:r>
        <w:rPr>
          <w:rFonts w:ascii="仿宋_GB2312" w:hAnsi="仿宋" w:eastAsia="仿宋_GB2312"/>
          <w:sz w:val="32"/>
          <w:szCs w:val="32"/>
        </w:rPr>
        <w:t>美国、加拿大、芬兰赛区组委会</w:t>
      </w:r>
    </w:p>
    <w:p w14:paraId="25F03673">
      <w:pPr>
        <w:ind w:firstLine="640" w:firstLineChars="200"/>
        <w:jc w:val="right"/>
        <w:rPr>
          <w:rFonts w:ascii="仿宋_GB2312" w:hAnsi="仿宋" w:eastAsia="仿宋_GB2312"/>
          <w:sz w:val="32"/>
          <w:szCs w:val="32"/>
        </w:rPr>
      </w:pPr>
      <w:r>
        <w:rPr>
          <w:rFonts w:hint="eastAsia" w:ascii="仿宋_GB2312" w:hAnsi="仿宋" w:eastAsia="仿宋_GB2312"/>
          <w:sz w:val="32"/>
          <w:szCs w:val="32"/>
        </w:rPr>
        <w:t>南京大学（代章）</w:t>
      </w:r>
    </w:p>
    <w:p w14:paraId="2DB87DDA">
      <w:pPr>
        <w:ind w:firstLine="640" w:firstLineChars="200"/>
        <w:jc w:val="right"/>
        <w:rPr>
          <w:rFonts w:ascii="仿宋_GB2312" w:hAnsi="仿宋" w:eastAsia="仿宋_GB2312"/>
          <w:sz w:val="32"/>
          <w:szCs w:val="32"/>
        </w:rPr>
      </w:pPr>
      <w:r>
        <w:rPr>
          <w:rFonts w:hint="eastAsia" w:ascii="仿宋_GB2312" w:hAnsi="仿宋" w:eastAsia="仿宋_GB2312"/>
          <w:sz w:val="32"/>
          <w:szCs w:val="32"/>
        </w:rPr>
        <w:t>2026年5月</w:t>
      </w:r>
      <w:r>
        <w:rPr>
          <w:rFonts w:hint="eastAsia" w:ascii="仿宋_GB2312" w:hAnsi="仿宋" w:eastAsia="仿宋_GB2312"/>
          <w:sz w:val="32"/>
          <w:szCs w:val="32"/>
          <w:lang w:val="en-US" w:eastAsia="zh-CN"/>
        </w:rPr>
        <w:t>8</w:t>
      </w:r>
      <w:bookmarkStart w:id="0" w:name="_GoBack"/>
      <w:bookmarkEnd w:id="0"/>
      <w:r>
        <w:rPr>
          <w:rFonts w:hint="eastAsia" w:ascii="仿宋_GB2312" w:hAnsi="仿宋" w:eastAsia="仿宋_GB2312"/>
          <w:sz w:val="32"/>
          <w:szCs w:val="32"/>
        </w:rPr>
        <w:t>日</w:t>
      </w:r>
      <w:r>
        <w:rPr>
          <w:rFonts w:hint="eastAsia" w:ascii="仿宋_GB2312" w:hAnsi="仿宋" w:eastAsia="仿宋_GB2312"/>
          <w:sz w:val="32"/>
          <w:szCs w:val="32"/>
        </w:rPr>
        <w:br w:type="page"/>
      </w:r>
    </w:p>
    <w:p w14:paraId="253C39BC">
      <w:pPr>
        <w:jc w:val="left"/>
        <w:rPr>
          <w:rFonts w:ascii="黑体" w:hAnsi="黑体" w:eastAsia="黑体"/>
          <w:sz w:val="32"/>
          <w:szCs w:val="32"/>
        </w:rPr>
      </w:pPr>
      <w:r>
        <w:rPr>
          <w:rFonts w:hint="eastAsia" w:ascii="黑体" w:hAnsi="黑体" w:eastAsia="黑体"/>
          <w:sz w:val="32"/>
          <w:szCs w:val="32"/>
        </w:rPr>
        <w:t>附件</w:t>
      </w:r>
    </w:p>
    <w:p w14:paraId="02D73FA1">
      <w:pPr>
        <w:jc w:val="left"/>
        <w:rPr>
          <w:rFonts w:ascii="仿宋_GB2312" w:hAnsi="仿宋" w:eastAsia="仿宋_GB2312"/>
          <w:sz w:val="32"/>
          <w:szCs w:val="32"/>
        </w:rPr>
      </w:pPr>
    </w:p>
    <w:p w14:paraId="26E46EE7">
      <w:pPr>
        <w:jc w:val="center"/>
        <w:rPr>
          <w:rFonts w:ascii="仿宋_GB2312" w:hAnsi="仿宋" w:eastAsia="仿宋_GB2312"/>
          <w:sz w:val="32"/>
          <w:szCs w:val="32"/>
        </w:rPr>
      </w:pPr>
      <w:r>
        <w:rPr>
          <w:rFonts w:hint="eastAsia" w:ascii="仿宋_GB2312" w:hAnsi="仿宋" w:eastAsia="仿宋_GB2312"/>
          <w:sz w:val="32"/>
          <w:szCs w:val="32"/>
        </w:rPr>
        <w:t>数据发展与治理创新赛道说明</w:t>
      </w:r>
    </w:p>
    <w:p w14:paraId="028D2F4C">
      <w:pPr>
        <w:ind w:firstLine="640" w:firstLineChars="200"/>
        <w:rPr>
          <w:rFonts w:ascii="仿宋_GB2312" w:hAnsi="仿宋" w:eastAsia="仿宋_GB2312"/>
          <w:sz w:val="32"/>
          <w:szCs w:val="32"/>
        </w:rPr>
      </w:pPr>
      <w:r>
        <w:rPr>
          <w:rFonts w:hint="eastAsia" w:ascii="仿宋_GB2312" w:hAnsi="仿宋" w:eastAsia="仿宋_GB2312"/>
          <w:sz w:val="32"/>
          <w:szCs w:val="32"/>
        </w:rPr>
        <w:t>在全球数字化转型浪潮的驱动下，数据已成为</w:t>
      </w:r>
      <w:r>
        <w:rPr>
          <w:rFonts w:ascii="仿宋_GB2312" w:hAnsi="仿宋" w:eastAsia="仿宋_GB2312"/>
          <w:sz w:val="32"/>
          <w:szCs w:val="32"/>
        </w:rPr>
        <w:t>21世纪最重要的战略性资源以及未来可持续发展的基石。数据的生产、流通、利用与治理，正在深刻地改变着经济社会运行的基本逻辑，也对现有的法律框架、伦理体系与技术标准提出全新的挑战。与此同时，人工智能、大模型、云计算等新兴技术的加速迭代，使数据的采集规模、处理深度与应用边界持续扩展，数据安全、隐私保护、算法公平、跨境流动等议题日益成为全球各国政府、学术界与产业界共同关注的核心命题。</w:t>
      </w:r>
    </w:p>
    <w:p w14:paraId="06496E9A">
      <w:pPr>
        <w:ind w:firstLine="640" w:firstLineChars="200"/>
        <w:rPr>
          <w:rFonts w:ascii="仿宋_GB2312" w:hAnsi="仿宋" w:eastAsia="仿宋_GB2312"/>
          <w:sz w:val="32"/>
          <w:szCs w:val="32"/>
        </w:rPr>
      </w:pPr>
      <w:r>
        <w:rPr>
          <w:rFonts w:hint="eastAsia" w:ascii="仿宋_GB2312" w:hAnsi="仿宋" w:eastAsia="仿宋_GB2312"/>
          <w:sz w:val="32"/>
          <w:szCs w:val="32"/>
        </w:rPr>
        <w:t>数据发展与治理创新赛道的设立</w:t>
      </w:r>
      <w:r>
        <w:rPr>
          <w:rFonts w:ascii="仿宋_GB2312" w:hAnsi="仿宋" w:eastAsia="仿宋_GB2312"/>
          <w:sz w:val="32"/>
          <w:szCs w:val="32"/>
        </w:rPr>
        <w:t>旨在打造全球最具影响力的大学生数据创新交流平台，建立连接学术前沿与产业实践的桥梁，推动数据发展与治理的理论创新与实践探索。</w:t>
      </w:r>
      <w:r>
        <w:rPr>
          <w:rFonts w:hint="eastAsia" w:ascii="仿宋_GB2312" w:hAnsi="仿宋" w:eastAsia="仿宋_GB2312"/>
          <w:sz w:val="32"/>
          <w:szCs w:val="32"/>
        </w:rPr>
        <w:t>该赛道聚焦数据科技创新、数据治理实践、数据应用探索三大维度，设置如下四大类别：</w:t>
      </w:r>
    </w:p>
    <w:p w14:paraId="4D98B44A">
      <w:pPr>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数据治理与规则创新</w:t>
      </w:r>
    </w:p>
    <w:p w14:paraId="1B088F9B">
      <w:pPr>
        <w:ind w:firstLine="640" w:firstLineChars="200"/>
        <w:rPr>
          <w:rFonts w:ascii="仿宋_GB2312" w:hAnsi="仿宋" w:eastAsia="仿宋_GB2312"/>
          <w:sz w:val="32"/>
          <w:szCs w:val="32"/>
        </w:rPr>
      </w:pPr>
      <w:r>
        <w:rPr>
          <w:rFonts w:hint="eastAsia" w:ascii="仿宋_GB2312" w:hAnsi="仿宋" w:eastAsia="仿宋_GB2312"/>
          <w:sz w:val="32"/>
          <w:szCs w:val="32"/>
        </w:rPr>
        <w:t>定位与目标：当前全球数据治理正处于规则竞争期。该赛道主要聚焦数据领域的制度性、规范性等顶层设计问题，解决全球数据流动中的“规则碎片化”与“制度壁垒”现状，深入探索数据产权、流通、交易、安全、主权等核心治理议题的创新解决方案、政策建议和规则框架，通过政策分析、比较研究、制度设计与规则创新等，探索解决当前数据治理领域面临的重大制度性挑战，鼓励大学生以原创性研究推动理论边界的空间。主要细分方向如下：</w:t>
      </w:r>
    </w:p>
    <w:p w14:paraId="7B56BD83">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1）数据产权与收益分配机制创新：研究个人数据、企业数据、公共数据的确权、授权使用与收益分配模型。探索区块链、智能合约等技术在数据资产化中的应用。</w:t>
      </w:r>
    </w:p>
    <w:p w14:paraId="48C3BD4F">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2）跨境数据流动合规解决方案：针对不同国家/地区数据法律冲突，设计合规的跨境数据流动框架、技术标准（如隐私计算、数据信托）或争端调解机制。</w:t>
      </w:r>
    </w:p>
    <w:p w14:paraId="34D09685">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3）数据伦理与算法治理：研究人工智能算法的偏见、公平性、透明度、问责制问题，提出伦理审查框架、治理工具或技术解决方案。</w:t>
      </w:r>
    </w:p>
    <w:p w14:paraId="0330AFC5">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4）公共数据开放与利用模式：探索政府公共数据的高效、安全开放模式，设计促进公共数据价值释放的应用场景和激励机制。</w:t>
      </w:r>
    </w:p>
    <w:p w14:paraId="6BDB52F1">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5）数据主权与全球治理规则设计：在尊重各国数据主权基础上，提出多边协同的数据治理原则、标准或国际协议建议书。</w:t>
      </w:r>
    </w:p>
    <w:p w14:paraId="509D6AD8">
      <w:pPr>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数据技术与算法突破</w:t>
      </w:r>
    </w:p>
    <w:p w14:paraId="2B6E2690">
      <w:pPr>
        <w:ind w:firstLine="640" w:firstLineChars="200"/>
        <w:rPr>
          <w:rFonts w:ascii="仿宋_GB2312" w:hAnsi="仿宋" w:eastAsia="仿宋_GB2312"/>
          <w:sz w:val="32"/>
          <w:szCs w:val="32"/>
        </w:rPr>
      </w:pPr>
      <w:r>
        <w:rPr>
          <w:rFonts w:hint="eastAsia" w:ascii="仿宋_GB2312" w:hAnsi="仿宋" w:eastAsia="仿宋_GB2312"/>
          <w:sz w:val="32"/>
          <w:szCs w:val="32"/>
        </w:rPr>
        <w:t>定位与目标：从联邦学习到差分隐私，从大模型训练效率到数据要素流通平台，技术层面的突破正在重新定义数字经济的边界。该赛道聚焦于数据科学与人工智能前沿技术，挑战数据要素价值释放过程中数据处理、分析、建模、应用中的核心技术瓶颈，探索具有原创性、颠覆性的算法模型与关键技术。主要细分方向如下：</w:t>
      </w:r>
    </w:p>
    <w:p w14:paraId="754ED58D">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1）高性能数据处理与存储技术：面向海量、多源、异构数据的高效采集、清洗、融合、存储、检索技术，如新型数据库、分布式文件系统、流处理引擎优化等。</w:t>
      </w:r>
    </w:p>
    <w:p w14:paraId="4BEC30B8">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2）人工智能与机器学习算法创新：在联邦学习、迁移学习、小样本学习、可解释AI、AutoML等方向提出新算法或在特定数据集上取得SOTA结果。</w:t>
      </w:r>
    </w:p>
    <w:p w14:paraId="6774E81A">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3）数据隐私保护与安全技术：研究并实现差分隐私、安全多方计算、同态加密、零知识证明等隐私保护技术在真实场景的优化与应用。</w:t>
      </w:r>
    </w:p>
    <w:p w14:paraId="00CB52ED">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4）数据可视化与智能分析工具：开发创新性的数据可视化工具、探索式分析平台，提升数据洞察效率，使复杂数据更易于理解和使用。</w:t>
      </w:r>
    </w:p>
    <w:p w14:paraId="30EA6709">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5）特定领域数据挖掘算法：针对生物医疗、金融风控、地理信息、社交网络等特定领域数据的特点，提出领域适应的挖掘、预测或推荐算法。</w:t>
      </w:r>
    </w:p>
    <w:p w14:paraId="759EDB5D">
      <w:pPr>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数据应用与场景创新</w:t>
      </w:r>
    </w:p>
    <w:p w14:paraId="05483D25">
      <w:pPr>
        <w:ind w:firstLine="640" w:firstLineChars="200"/>
        <w:rPr>
          <w:rFonts w:ascii="仿宋_GB2312" w:hAnsi="仿宋" w:eastAsia="仿宋_GB2312"/>
          <w:sz w:val="32"/>
          <w:szCs w:val="32"/>
        </w:rPr>
      </w:pPr>
      <w:r>
        <w:rPr>
          <w:rFonts w:hint="eastAsia" w:ascii="仿宋_GB2312" w:hAnsi="仿宋" w:eastAsia="仿宋_GB2312"/>
          <w:sz w:val="32"/>
          <w:szCs w:val="32"/>
        </w:rPr>
        <w:t>定位与目标：数据的真正价值不在于存储与积累，而在于其能否转化为切实可用的应用场景和社会解决方案。该赛道鼓励参赛团队围绕公共治理、数字健康、绿色发展、数字经济等领域，探索数据技术在经济社会各领域的具体应用，以解决实际问题、创造真实价值为导向，孵化具有落地潜力的创新应用方案，旨在促进产教融合，让数据创新走出实验室，赋能实体经济与社会发展。主要细分方向如下：</w:t>
      </w:r>
    </w:p>
    <w:p w14:paraId="44F5016E">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1）智慧城市与数字政府应用：利用城市多源数据（交通、环境、政务、民生），优化城市管理、公共服务、应急响应等场景的解决方案。</w:t>
      </w:r>
    </w:p>
    <w:p w14:paraId="6E5546F4">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2）产业数字化转型应用：为制造业、农业、物流业、建筑业等传统行业提供数据驱动的转型升级方案，如工业互联网、精准农业、智慧物流。</w:t>
      </w:r>
    </w:p>
    <w:p w14:paraId="1C215C91">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3）普惠金融与风险管理应用：利用替代数据、AI模型解决中小微企业融资难、欺诈风险识别、智能投顾等金融普惠与风控问题。</w:t>
      </w:r>
    </w:p>
    <w:p w14:paraId="15A89301">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4）数字健康与生命科学应用：在基因组数据分析、医学影像识别、流行病预测、个性化医疗、药物研发等领域的创新应用。</w:t>
      </w:r>
    </w:p>
    <w:p w14:paraId="3FB6683C">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5）数据驱动的可持续发展应用：利用数据科学解决环境监测、能源效率、气候变化适应、精准扶贫、教育公平等联合国可持续发展目标（SDGs）相关挑战。</w:t>
      </w:r>
    </w:p>
    <w:p w14:paraId="032407F4">
      <w:pPr>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数据安全与隐私保护</w:t>
      </w:r>
    </w:p>
    <w:p w14:paraId="38EE20EB">
      <w:pPr>
        <w:ind w:firstLine="640" w:firstLineChars="200"/>
        <w:rPr>
          <w:rFonts w:ascii="仿宋_GB2312" w:hAnsi="仿宋" w:eastAsia="仿宋_GB2312"/>
          <w:sz w:val="32"/>
          <w:szCs w:val="32"/>
        </w:rPr>
      </w:pPr>
      <w:r>
        <w:rPr>
          <w:rFonts w:hint="eastAsia" w:ascii="仿宋_GB2312" w:hAnsi="仿宋" w:eastAsia="仿宋_GB2312"/>
          <w:sz w:val="32"/>
          <w:szCs w:val="32"/>
        </w:rPr>
        <w:t>定位与目标：数据安全与隐私保护已从单纯的技术议题演变为国家战略安全的核心组成部分。该赛道聚焦于日益严峻的数据安全与个人信息保护挑战，从技术、管理、教育等多维度探索解决方案，提升数据安全保障能力，促进数据安全有序流动。主要细分方向如下：</w:t>
      </w:r>
    </w:p>
    <w:p w14:paraId="2477C0F3">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1）个人信息保护技术与实践：研究并实现用户数据权利行使的技术支持工具（如数据主体访问请求工具）、匿名化与去标识化技术、合规的用户画像机制。</w:t>
      </w:r>
    </w:p>
    <w:p w14:paraId="6FFA4AE0">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2）数据安全防护与应急响应：针对数据泄露、勒索软件、内部威胁等风险，设计主动防御系统、入侵检测算法、数据备份与灾备方案。</w:t>
      </w:r>
    </w:p>
    <w:p w14:paraId="0D36F69E">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3）密码学与加密应用创新：研究新型密码体制（如后量子密码）、轻量级加密算法在物联网、边缘计算数据保护中的应用。</w:t>
      </w:r>
    </w:p>
    <w:p w14:paraId="4AA3887C">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4）安全治理与合规自动化：开发自动化数据分类分级工具、合规检查平台、隐私影响评估辅助系统，提升组织数据安全治理效率。</w:t>
      </w:r>
    </w:p>
    <w:p w14:paraId="6262042C">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5）数据安全意识教育与人才认证：设计创新性的数据安全教育课程、游戏化培训平台、专业人才能力模型与认证体系。</w:t>
      </w:r>
    </w:p>
    <w:p w14:paraId="5A7DF639">
      <w:pPr>
        <w:ind w:firstLine="640" w:firstLineChars="200"/>
        <w:jc w:val="left"/>
        <w:rPr>
          <w:rFonts w:ascii="仿宋_GB2312" w:hAnsi="仿宋"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9D823"/>
    <w:multiLevelType w:val="singleLevel"/>
    <w:tmpl w:val="3E59D8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3E"/>
    <w:rsid w:val="00031E95"/>
    <w:rsid w:val="00086E9C"/>
    <w:rsid w:val="000B64FB"/>
    <w:rsid w:val="000F349E"/>
    <w:rsid w:val="00130A0A"/>
    <w:rsid w:val="001408F0"/>
    <w:rsid w:val="002A3F9A"/>
    <w:rsid w:val="003054A4"/>
    <w:rsid w:val="00333CDB"/>
    <w:rsid w:val="00346766"/>
    <w:rsid w:val="00461D83"/>
    <w:rsid w:val="005811E2"/>
    <w:rsid w:val="0069090E"/>
    <w:rsid w:val="006B485A"/>
    <w:rsid w:val="006B6E51"/>
    <w:rsid w:val="007664F6"/>
    <w:rsid w:val="007D074B"/>
    <w:rsid w:val="00891C04"/>
    <w:rsid w:val="00953830"/>
    <w:rsid w:val="009608D8"/>
    <w:rsid w:val="009B3DEA"/>
    <w:rsid w:val="00AA7A54"/>
    <w:rsid w:val="00AC1B58"/>
    <w:rsid w:val="00B23869"/>
    <w:rsid w:val="00BC1299"/>
    <w:rsid w:val="00BC761D"/>
    <w:rsid w:val="00C360CA"/>
    <w:rsid w:val="00C474D9"/>
    <w:rsid w:val="00D0713E"/>
    <w:rsid w:val="00D30B2F"/>
    <w:rsid w:val="00D96705"/>
    <w:rsid w:val="00EF6085"/>
    <w:rsid w:val="00F9535B"/>
    <w:rsid w:val="00FF5698"/>
    <w:rsid w:val="04962203"/>
    <w:rsid w:val="09500496"/>
    <w:rsid w:val="0D060BF6"/>
    <w:rsid w:val="18AD6886"/>
    <w:rsid w:val="1C352753"/>
    <w:rsid w:val="1E2813D5"/>
    <w:rsid w:val="21A94601"/>
    <w:rsid w:val="258355DC"/>
    <w:rsid w:val="25D33882"/>
    <w:rsid w:val="28706D19"/>
    <w:rsid w:val="2E42006C"/>
    <w:rsid w:val="301A5EE8"/>
    <w:rsid w:val="332D7CE1"/>
    <w:rsid w:val="37251E9B"/>
    <w:rsid w:val="3AD62A0C"/>
    <w:rsid w:val="3D6D517E"/>
    <w:rsid w:val="3ED74FA5"/>
    <w:rsid w:val="3F264F71"/>
    <w:rsid w:val="502616C9"/>
    <w:rsid w:val="52B458D1"/>
    <w:rsid w:val="56837A94"/>
    <w:rsid w:val="5AFA22EF"/>
    <w:rsid w:val="5CEF0BF3"/>
    <w:rsid w:val="5E343D6A"/>
    <w:rsid w:val="5ECD1726"/>
    <w:rsid w:val="608C39E9"/>
    <w:rsid w:val="62D17DD9"/>
    <w:rsid w:val="6A7E28C8"/>
    <w:rsid w:val="722717C4"/>
    <w:rsid w:val="75AB270C"/>
    <w:rsid w:val="77334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14:ligatures w14:val="standardContextual"/>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4525</Words>
  <Characters>4717</Characters>
  <Lines>34</Lines>
  <Paragraphs>9</Paragraphs>
  <TotalTime>11</TotalTime>
  <ScaleCrop>false</ScaleCrop>
  <LinksUpToDate>false</LinksUpToDate>
  <CharactersWithSpaces>4728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2026-03-23T12:25:00Z</dcterms:created>
  <dc:creator>朱一方</dc:creator>
  <cp:lastModifiedBy>吴蓉</cp:lastModifiedBy>
  <dcterms:modified xsi:type="dcterms:W3CDTF">2026-05-08T01:30:58Z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eyJoZGlkIjoiNWI2Y2E1YmRhZjhiMzQ5ZDkzN2ViMDA4OTM2ZTNhZmIiLCJ1c2VySWQiOiIyOTA0MzIwNzEifQ==</vt:lpwstr>
  </property>
  <property fmtid="{D5CDD505-2E9C-101B-9397-08002B2CF9AE}" pid="3" name="KSOProductBuildVer">
    <vt:lpwstr>2052-12.1.0.25865</vt:lpwstr>
  </property>
  <property fmtid="{D5CDD505-2E9C-101B-9397-08002B2CF9AE}" pid="4" name="ICV">
    <vt:lpwstr>4B598E939239414FA72F449C70E932D1_12</vt:lpwstr>
  </property>
</Properties>
</file>